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180" w:rsidRDefault="00607180" w:rsidP="00607180">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14 catorce de julio del año 2017 dos mil diecisiete. . . </w:t>
      </w:r>
    </w:p>
    <w:p w:rsidR="00607180" w:rsidRDefault="00607180" w:rsidP="00607180">
      <w:pPr>
        <w:rPr>
          <w:rFonts w:ascii="Calibri" w:hAnsi="Calibri" w:cs="Calibri"/>
          <w:color w:val="767171" w:themeColor="background2" w:themeShade="80"/>
          <w:sz w:val="26"/>
          <w:szCs w:val="26"/>
        </w:rPr>
      </w:pPr>
    </w:p>
    <w:p w:rsidR="00607180" w:rsidRDefault="00607180" w:rsidP="00607180">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0168/2doJAM/2017-JN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607180" w:rsidRDefault="00607180" w:rsidP="00607180">
      <w:pPr>
        <w:pStyle w:val="Textoindependiente"/>
        <w:rPr>
          <w:rFonts w:ascii="Calibri" w:hAnsi="Calibri" w:cs="Calibri"/>
          <w:color w:val="767171" w:themeColor="background2" w:themeShade="80"/>
          <w:sz w:val="26"/>
          <w:szCs w:val="26"/>
        </w:rPr>
      </w:pPr>
    </w:p>
    <w:p w:rsidR="00607180" w:rsidRDefault="00607180" w:rsidP="00607180">
      <w:pPr>
        <w:pStyle w:val="Textoindependiente"/>
        <w:rPr>
          <w:rFonts w:ascii="Calibri" w:hAnsi="Calibri" w:cs="Calibri"/>
          <w:color w:val="767171" w:themeColor="background2" w:themeShade="80"/>
          <w:sz w:val="26"/>
          <w:szCs w:val="26"/>
        </w:rPr>
      </w:pPr>
    </w:p>
    <w:p w:rsidR="00607180" w:rsidRDefault="00607180" w:rsidP="00607180">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607180" w:rsidRDefault="00607180" w:rsidP="00607180">
      <w:pPr>
        <w:pStyle w:val="Textoindependiente"/>
        <w:ind w:firstLine="708"/>
        <w:jc w:val="center"/>
        <w:rPr>
          <w:rFonts w:ascii="Calibri" w:hAnsi="Calibri" w:cs="Calibri"/>
          <w:b/>
          <w:bCs/>
          <w:color w:val="767171" w:themeColor="background2" w:themeShade="80"/>
          <w:sz w:val="26"/>
          <w:szCs w:val="26"/>
        </w:rPr>
      </w:pPr>
    </w:p>
    <w:p w:rsidR="00607180" w:rsidRDefault="00607180" w:rsidP="00607180">
      <w:pPr>
        <w:pStyle w:val="Textoindependiente"/>
        <w:rPr>
          <w:rFonts w:ascii="Calibri" w:hAnsi="Calibri" w:cs="Calibri"/>
          <w:b/>
          <w:bCs/>
          <w:color w:val="767171" w:themeColor="background2" w:themeShade="80"/>
          <w:sz w:val="26"/>
          <w:szCs w:val="26"/>
        </w:rPr>
      </w:pPr>
    </w:p>
    <w:p w:rsidR="00607180" w:rsidRDefault="00607180" w:rsidP="00607180">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26 veintiséis de diciembre del año 2016 dos mil dieciséis, sin que de las constancias de la presente causa administrativa se desprenda lo contrario. . . . . . . . . . . . . . . . . . . . . . . . . . . . . . . . . . . </w:t>
      </w:r>
    </w:p>
    <w:p w:rsidR="00607180" w:rsidRDefault="00607180" w:rsidP="00607180">
      <w:pPr>
        <w:jc w:val="both"/>
        <w:rPr>
          <w:rFonts w:ascii="Calibri" w:hAnsi="Calibri" w:cs="Calibri"/>
          <w:b/>
          <w:i/>
          <w:iCs/>
          <w:color w:val="767171" w:themeColor="background2" w:themeShade="80"/>
          <w:sz w:val="26"/>
          <w:szCs w:val="26"/>
          <w:lang w:val="es-MX"/>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359880 (tres-cinco-nueve-ocho-ocho-cero), de fecha 26 veintiséis de diciembre del año 2016 dos mil dieciséis; documento que, admitido como  prueba  a  las  partes (visible a  foja  24 </w:t>
      </w:r>
    </w:p>
    <w:p w:rsidR="00607180" w:rsidRDefault="00607180" w:rsidP="00607180">
      <w:pPr>
        <w:jc w:val="both"/>
        <w:rPr>
          <w:rFonts w:ascii="Calibri" w:hAnsi="Calibri" w:cs="Calibri"/>
          <w:color w:val="767171" w:themeColor="background2" w:themeShade="80"/>
          <w:sz w:val="26"/>
          <w:szCs w:val="26"/>
        </w:rPr>
      </w:pPr>
    </w:p>
    <w:p w:rsidR="00607180" w:rsidRDefault="00607180" w:rsidP="0060718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0168/2doJAM/2017-JN</w:t>
      </w:r>
    </w:p>
    <w:p w:rsidR="00607180" w:rsidRDefault="00607180" w:rsidP="00607180">
      <w:pPr>
        <w:jc w:val="both"/>
        <w:rPr>
          <w:rFonts w:ascii="Calibri" w:hAnsi="Calibri" w:cs="Calibri"/>
          <w:color w:val="767171" w:themeColor="background2" w:themeShade="80"/>
          <w:sz w:val="26"/>
          <w:szCs w:val="26"/>
        </w:rPr>
      </w:pPr>
    </w:p>
    <w:p w:rsidR="00607180" w:rsidRDefault="00607180" w:rsidP="00607180">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607180" w:rsidRDefault="00607180" w:rsidP="00607180">
      <w:pPr>
        <w:jc w:val="both"/>
        <w:rPr>
          <w:rFonts w:ascii="Calibri" w:hAnsi="Calibri" w:cs="Calibri"/>
          <w:color w:val="767171" w:themeColor="background2" w:themeShade="80"/>
          <w:sz w:val="26"/>
          <w:szCs w:val="26"/>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607180" w:rsidRDefault="00607180" w:rsidP="00607180">
      <w:pPr>
        <w:jc w:val="both"/>
        <w:rPr>
          <w:rFonts w:ascii="Calibri" w:hAnsi="Calibri" w:cs="Calibri"/>
          <w:b/>
          <w:bCs/>
          <w:i/>
          <w:iCs/>
          <w:color w:val="767171" w:themeColor="background2" w:themeShade="80"/>
          <w:sz w:val="26"/>
          <w:szCs w:val="26"/>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607180" w:rsidRDefault="00607180" w:rsidP="00607180">
      <w:pPr>
        <w:rPr>
          <w:rFonts w:ascii="Calibri" w:hAnsi="Calibri" w:cs="Calibri"/>
          <w:b/>
          <w:color w:val="767171" w:themeColor="background2" w:themeShade="80"/>
          <w:sz w:val="26"/>
          <w:szCs w:val="26"/>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 . . . . . . . . . . . . . . . . . . .</w:t>
      </w:r>
    </w:p>
    <w:p w:rsidR="00607180" w:rsidRDefault="00607180" w:rsidP="00607180">
      <w:pPr>
        <w:ind w:firstLine="708"/>
        <w:jc w:val="both"/>
        <w:rPr>
          <w:rFonts w:ascii="Calibri" w:hAnsi="Calibri" w:cs="Calibri"/>
          <w:color w:val="767171" w:themeColor="background2" w:themeShade="80"/>
          <w:sz w:val="26"/>
          <w:szCs w:val="26"/>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5 cinco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w:t>
      </w:r>
      <w:r>
        <w:rPr>
          <w:rFonts w:ascii="Calibri" w:hAnsi="Calibri" w:cs="Calibri"/>
          <w:color w:val="767171" w:themeColor="background2" w:themeShade="80"/>
          <w:sz w:val="26"/>
          <w:szCs w:val="26"/>
        </w:rPr>
        <w:t xml:space="preserve">. . . . . . . . . . . . . . . . . . . . . . . . . . . . . . . . . . . . . . . . . . . . . . . . . . . . . </w:t>
      </w:r>
    </w:p>
    <w:p w:rsidR="00607180" w:rsidRDefault="00607180" w:rsidP="00607180">
      <w:pPr>
        <w:jc w:val="both"/>
        <w:rPr>
          <w:rFonts w:ascii="Calibri" w:hAnsi="Calibri" w:cs="Calibri"/>
          <w:b/>
          <w:bCs/>
          <w:i/>
          <w:iCs/>
          <w:color w:val="767171" w:themeColor="background2" w:themeShade="80"/>
          <w:sz w:val="26"/>
          <w:szCs w:val="26"/>
        </w:rPr>
      </w:pPr>
    </w:p>
    <w:p w:rsidR="00607180" w:rsidRDefault="00607180" w:rsidP="00607180">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607180" w:rsidRDefault="00607180" w:rsidP="00607180">
      <w:pPr>
        <w:jc w:val="both"/>
        <w:rPr>
          <w:rFonts w:ascii="Calibri" w:hAnsi="Calibri" w:cs="Calibri"/>
          <w:b/>
          <w:bCs/>
          <w:i/>
          <w:iCs/>
          <w:color w:val="767171" w:themeColor="background2" w:themeShade="80"/>
          <w:sz w:val="26"/>
          <w:szCs w:val="26"/>
        </w:rPr>
      </w:pPr>
    </w:p>
    <w:p w:rsidR="00607180" w:rsidRDefault="00607180" w:rsidP="00607180">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representada del actor, toda vez que no es un acto definitivo así como que emitió la boleta al operador de la unidad y no a la persona moral actora; configurándose el supuesto previsto en la fracción I del artículo 261 del Código antedicho. . . . . . . . . . . . . . . . . . . . . . . . . . . . . . </w:t>
      </w:r>
      <w:r>
        <w:rPr>
          <w:rFonts w:ascii="Calibri" w:hAnsi="Calibri" w:cs="Calibri"/>
          <w:color w:val="767171" w:themeColor="background2" w:themeShade="80"/>
          <w:sz w:val="26"/>
          <w:szCs w:val="26"/>
        </w:rPr>
        <w:t>. . . . . . . . . . .</w:t>
      </w:r>
    </w:p>
    <w:p w:rsidR="00607180" w:rsidRDefault="00607180" w:rsidP="00607180">
      <w:pPr>
        <w:pStyle w:val="Sangradetextonormal"/>
        <w:ind w:left="0" w:firstLine="708"/>
        <w:jc w:val="both"/>
        <w:rPr>
          <w:rFonts w:ascii="Calibri" w:hAnsi="Calibri" w:cs="Calibri"/>
          <w:bCs/>
          <w:iCs/>
          <w:color w:val="767171" w:themeColor="background2" w:themeShade="80"/>
          <w:sz w:val="20"/>
          <w:szCs w:val="20"/>
        </w:rPr>
      </w:pPr>
    </w:p>
    <w:p w:rsidR="00607180" w:rsidRDefault="00607180" w:rsidP="00607180">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ya que, en primer lugar, se infraccionó al conductor del autobús con número económico LE-857, el cual resulta ser propiedad de la sociedad mercantil denominada </w:t>
      </w:r>
      <w:r>
        <w:rPr>
          <w:rFonts w:ascii="Calibri" w:hAnsi="Calibri" w:cs="Calibri"/>
          <w:bCs/>
          <w:i/>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según consta en el Título </w:t>
      </w:r>
      <w:r>
        <w:rPr>
          <w:rFonts w:ascii="Calibri" w:hAnsi="Calibri" w:cs="Calibri"/>
          <w:bCs/>
          <w:iCs/>
          <w:color w:val="7F7F7F" w:themeColor="text1" w:themeTint="80"/>
          <w:sz w:val="26"/>
          <w:szCs w:val="26"/>
        </w:rPr>
        <w:t xml:space="preserve">Concesión otorgado por el Ayuntamiento de León, Guanajuato, en fecha 13 trece de diciembre del año 2013 dos mil trece, para la prestación del servicio público de transporte en esta ciudad, en la ruta alimentadora número A-60 (palpable, en copia certificada, a fojas 17 diecisiete a 23 veintitrés); y, en segundo lugar, </w:t>
      </w:r>
      <w:r>
        <w:rPr>
          <w:rFonts w:ascii="Calibri" w:hAnsi="Calibri" w:cs="Calibri"/>
          <w:bCs/>
          <w:iCs/>
          <w:color w:val="767171" w:themeColor="background2" w:themeShade="80"/>
          <w:sz w:val="26"/>
          <w:szCs w:val="26"/>
        </w:rPr>
        <w:t xml:space="preserve">al haberse recogido en garantía de la multa que, en su caso se impusiera, las placas de circulación de un autobús que también resulta ser propiedad de la persona moral mencionada; como se encuentra debidamente demostrado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286851811 (dos-ocho-seis-ocho-cinco-uno-ocho-uno-uno) del autobús marca Mercedes Benz, tipo ómnibus, modelo 2015 dos mil quince con placas número 748034-D;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fojas de la 16 dieciséis),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 . . . . . . . . . . . . . . . . . . . . </w:t>
      </w:r>
    </w:p>
    <w:p w:rsidR="00607180" w:rsidRDefault="00607180" w:rsidP="0060718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0168/2doJAM/2017-JN</w:t>
      </w:r>
    </w:p>
    <w:p w:rsidR="00607180" w:rsidRDefault="00607180" w:rsidP="00607180">
      <w:pPr>
        <w:pStyle w:val="Sangradetextonormal"/>
        <w:ind w:left="0" w:firstLine="708"/>
        <w:jc w:val="both"/>
        <w:rPr>
          <w:rFonts w:ascii="Calibri" w:hAnsi="Calibri" w:cs="Calibri"/>
          <w:bCs/>
          <w:iCs/>
          <w:color w:val="767171" w:themeColor="background2" w:themeShade="80"/>
          <w:sz w:val="26"/>
          <w:szCs w:val="26"/>
        </w:rPr>
      </w:pPr>
    </w:p>
    <w:p w:rsidR="00607180" w:rsidRDefault="00607180" w:rsidP="00607180">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67171" w:themeColor="background2" w:themeShade="80"/>
          <w:sz w:val="26"/>
          <w:szCs w:val="26"/>
        </w:rPr>
        <w:t xml:space="preserve"> Continuando con el análisis de las causales de improcedencia o sobreseimiento, </w:t>
      </w:r>
      <w:r>
        <w:rPr>
          <w:rFonts w:ascii="Calibri" w:hAnsi="Calibri" w:cs="Calibri"/>
          <w:b/>
          <w:bCs/>
          <w:iCs/>
          <w:color w:val="767171" w:themeColor="background2" w:themeShade="80"/>
          <w:sz w:val="26"/>
          <w:szCs w:val="26"/>
        </w:rPr>
        <w:t>no se advierte</w:t>
      </w:r>
      <w:r>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607180" w:rsidRDefault="00607180" w:rsidP="00607180">
      <w:pPr>
        <w:jc w:val="both"/>
        <w:rPr>
          <w:rFonts w:ascii="Calibri" w:hAnsi="Calibri" w:cs="Calibri"/>
          <w:b/>
          <w:bCs/>
          <w:i/>
          <w:iCs/>
          <w:color w:val="767171" w:themeColor="background2" w:themeShade="80"/>
          <w:sz w:val="26"/>
          <w:szCs w:val="26"/>
          <w:lang w:val="es-MX"/>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07180" w:rsidRDefault="00607180" w:rsidP="00607180">
      <w:pPr>
        <w:ind w:firstLine="708"/>
        <w:jc w:val="both"/>
        <w:rPr>
          <w:rFonts w:ascii="Calibri" w:hAnsi="Calibri" w:cs="Calibri"/>
          <w:color w:val="767171" w:themeColor="background2" w:themeShade="80"/>
          <w:sz w:val="26"/>
          <w:szCs w:val="26"/>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26 veintiséis de diciembre del año 2016 dos mil dieciséis,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359880 (tres-cinco-nueve-ocho-ocho-cero), en la que señaló como concepto de la infracción: </w:t>
      </w:r>
      <w:r>
        <w:rPr>
          <w:rFonts w:ascii="Calibri" w:hAnsi="Calibri" w:cs="Calibri"/>
          <w:i/>
          <w:color w:val="767171" w:themeColor="background2" w:themeShade="80"/>
          <w:sz w:val="26"/>
          <w:szCs w:val="26"/>
        </w:rPr>
        <w:t xml:space="preserve">“Por no cumplir con la ruta, horario, itinerario y frecuencia autorizadas en la prestación del servicio. (Aforé la ruta A-60……….percatándome, que no cumplen con el despacho físico # 14 con horario programado a las 06:28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 . . . . . . . </w:t>
      </w:r>
      <w:r>
        <w:rPr>
          <w:rFonts w:ascii="Calibri" w:hAnsi="Calibri" w:cs="Calibri"/>
          <w:color w:val="767171" w:themeColor="background2" w:themeShade="80"/>
          <w:sz w:val="26"/>
          <w:szCs w:val="26"/>
        </w:rPr>
        <w:t xml:space="preserve">. . . . . . . . . . . . . . . . . . . . . . . . . . . . . . . . . . . . . . . . . </w:t>
      </w:r>
    </w:p>
    <w:p w:rsidR="00607180" w:rsidRDefault="00607180" w:rsidP="00607180">
      <w:pPr>
        <w:pStyle w:val="Textoindependiente"/>
        <w:tabs>
          <w:tab w:val="left" w:pos="3594"/>
        </w:tabs>
        <w:rPr>
          <w:rFonts w:ascii="Calibri" w:hAnsi="Calibri" w:cs="Calibri"/>
          <w:color w:val="767171" w:themeColor="background2" w:themeShade="80"/>
          <w:sz w:val="26"/>
          <w:szCs w:val="26"/>
          <w:lang w:val="es-ES"/>
        </w:rPr>
      </w:pPr>
    </w:p>
    <w:p w:rsidR="00607180" w:rsidRDefault="00607180" w:rsidP="00607180">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607180" w:rsidRDefault="00607180" w:rsidP="00607180">
      <w:pPr>
        <w:pStyle w:val="Textoindependiente"/>
        <w:tabs>
          <w:tab w:val="left" w:pos="3594"/>
        </w:tabs>
        <w:rPr>
          <w:rFonts w:ascii="Calibri" w:hAnsi="Calibri" w:cs="Calibri"/>
          <w:iCs/>
          <w:color w:val="767171" w:themeColor="background2" w:themeShade="80"/>
          <w:sz w:val="26"/>
          <w:szCs w:val="26"/>
        </w:rPr>
      </w:pPr>
    </w:p>
    <w:p w:rsidR="00607180" w:rsidRDefault="00607180" w:rsidP="00607180">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607180" w:rsidRDefault="00607180" w:rsidP="00607180">
      <w:pPr>
        <w:pStyle w:val="Textoindependiente"/>
        <w:tabs>
          <w:tab w:val="left" w:pos="3594"/>
        </w:tabs>
        <w:rPr>
          <w:rFonts w:ascii="Calibri" w:hAnsi="Calibri" w:cs="Calibri"/>
          <w:iCs/>
          <w:color w:val="767171" w:themeColor="background2" w:themeShade="80"/>
          <w:sz w:val="26"/>
          <w:szCs w:val="26"/>
        </w:rPr>
      </w:pPr>
    </w:p>
    <w:p w:rsidR="00607180" w:rsidRDefault="00607180" w:rsidP="00607180">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359880 (tres-cinco-nueve-ocho-ocho-cero), de fecha 26 veintiséis de diciembre del año 2016 dos mil dieciséis,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 . . . . . . . . . . . . . . . . . . . . . . . . .</w:t>
      </w:r>
      <w:r>
        <w:rPr>
          <w:rFonts w:ascii="Calibri" w:hAnsi="Calibri" w:cs="Calibri"/>
          <w:color w:val="767171" w:themeColor="background2" w:themeShade="80"/>
          <w:sz w:val="26"/>
          <w:szCs w:val="26"/>
        </w:rPr>
        <w:t xml:space="preserve"> . . . . . . . . . . . . . . . . . . . . . . . . . . . . . . . </w:t>
      </w:r>
    </w:p>
    <w:p w:rsidR="00607180" w:rsidRDefault="00607180" w:rsidP="00607180">
      <w:pPr>
        <w:jc w:val="both"/>
        <w:rPr>
          <w:color w:val="767171" w:themeColor="background2" w:themeShade="80"/>
          <w:sz w:val="22"/>
        </w:rPr>
      </w:pPr>
    </w:p>
    <w:p w:rsidR="00607180" w:rsidRDefault="00607180" w:rsidP="00607180">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w:t>
      </w:r>
      <w:r>
        <w:rPr>
          <w:rFonts w:ascii="Calibri" w:hAnsi="Calibri"/>
          <w:color w:val="767171" w:themeColor="background2" w:themeShade="80"/>
          <w:sz w:val="26"/>
        </w:rPr>
        <w:lastRenderedPageBreak/>
        <w:t xml:space="preserve">en su totalidad, sirviendo para ello el criterio sostenido por el Tribunal Colegiado de Circuito, mencionado en la siguiente Jurisprudencia: </w:t>
      </w:r>
    </w:p>
    <w:p w:rsidR="00607180" w:rsidRDefault="00607180" w:rsidP="00607180">
      <w:pPr>
        <w:ind w:firstLine="708"/>
        <w:jc w:val="both"/>
        <w:rPr>
          <w:color w:val="767171" w:themeColor="background2" w:themeShade="80"/>
          <w:lang w:val="es-MX"/>
        </w:rPr>
      </w:pPr>
    </w:p>
    <w:p w:rsidR="00607180" w:rsidRDefault="00607180" w:rsidP="00607180">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07180" w:rsidRDefault="00607180" w:rsidP="00607180">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w:t>
      </w:r>
      <w:r>
        <w:rPr>
          <w:rFonts w:ascii="Calibri" w:hAnsi="Calibri" w:cs="Calibri"/>
          <w:i/>
          <w:color w:val="767171" w:themeColor="background2" w:themeShade="80"/>
          <w:sz w:val="26"/>
          <w:szCs w:val="26"/>
        </w:rPr>
        <w:t xml:space="preserve">……..al elaborar la infracción…. toda vez que la infracción recurrida no fue integrada en forma justificada ni pormenorizada…”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p>
    <w:p w:rsidR="00607180" w:rsidRDefault="00607180" w:rsidP="00607180">
      <w:pPr>
        <w:jc w:val="both"/>
        <w:rPr>
          <w:rFonts w:ascii="Calibri" w:hAnsi="Calibri" w:cs="Calibri"/>
          <w:iCs/>
          <w:color w:val="AEAAAA" w:themeColor="background2" w:themeShade="BF"/>
          <w:sz w:val="26"/>
          <w:szCs w:val="26"/>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607180" w:rsidRDefault="00607180" w:rsidP="00607180">
      <w:pPr>
        <w:jc w:val="both"/>
        <w:rPr>
          <w:rFonts w:ascii="Calibri" w:hAnsi="Calibri" w:cs="Calibri"/>
          <w:bCs/>
          <w:color w:val="AEAAAA" w:themeColor="background2" w:themeShade="BF"/>
          <w:sz w:val="26"/>
          <w:szCs w:val="26"/>
        </w:rPr>
      </w:pPr>
    </w:p>
    <w:p w:rsidR="00607180" w:rsidRDefault="00607180" w:rsidP="006071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359880 (tres-cinco-nueve-ocho-ocho-cero), de fecha 26 veintiséis de diciembre del año 2016 dos mil dieciséis,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 xml:space="preserve">Los conductores de los </w:t>
      </w:r>
      <w:r>
        <w:rPr>
          <w:rFonts w:asciiTheme="minorHAnsi" w:hAnsiTheme="minorHAnsi" w:cs="Arial"/>
          <w:i/>
          <w:color w:val="767171" w:themeColor="background2" w:themeShade="80"/>
          <w:sz w:val="26"/>
          <w:szCs w:val="26"/>
          <w:lang w:val="es-MX"/>
        </w:rPr>
        <w:lastRenderedPageBreak/>
        <w:t>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607180" w:rsidRDefault="00607180" w:rsidP="00607180">
      <w:pPr>
        <w:jc w:val="both"/>
        <w:rPr>
          <w:rFonts w:ascii="Calibri" w:hAnsi="Calibri" w:cs="Calibri"/>
          <w:bCs/>
          <w:color w:val="767171" w:themeColor="background2" w:themeShade="80"/>
          <w:sz w:val="26"/>
          <w:szCs w:val="26"/>
        </w:rPr>
      </w:pPr>
    </w:p>
    <w:p w:rsidR="00607180" w:rsidRDefault="00607180" w:rsidP="00607180">
      <w:pPr>
        <w:ind w:firstLine="708"/>
        <w:jc w:val="both"/>
        <w:rPr>
          <w:rFonts w:ascii="Calibri" w:hAnsi="Calibri" w:cs="Calibri"/>
          <w:bCs/>
          <w:color w:val="767171" w:themeColor="background2" w:themeShade="80"/>
          <w:sz w:val="26"/>
          <w:szCs w:val="26"/>
        </w:rPr>
      </w:pPr>
    </w:p>
    <w:p w:rsidR="00607180" w:rsidRDefault="00607180" w:rsidP="0060718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0168/2doJAM/2017-JN</w:t>
      </w:r>
    </w:p>
    <w:p w:rsidR="00607180" w:rsidRDefault="00607180" w:rsidP="00607180">
      <w:pPr>
        <w:ind w:firstLine="708"/>
        <w:jc w:val="both"/>
        <w:rPr>
          <w:rFonts w:ascii="Calibri" w:hAnsi="Calibri" w:cs="Calibri"/>
          <w:bCs/>
          <w:color w:val="767171" w:themeColor="background2" w:themeShade="80"/>
          <w:sz w:val="26"/>
          <w:szCs w:val="26"/>
        </w:rPr>
      </w:pPr>
    </w:p>
    <w:p w:rsidR="00607180" w:rsidRDefault="00607180" w:rsidP="00607180">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Pr>
          <w:rFonts w:ascii="Calibri" w:hAnsi="Calibri" w:cs="Calibri"/>
          <w:bCs/>
          <w:i/>
          <w:color w:val="767171" w:themeColor="background2" w:themeShade="80"/>
          <w:sz w:val="26"/>
          <w:szCs w:val="26"/>
        </w:rPr>
        <w:t xml:space="preserve">“Afore”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w:t>
      </w:r>
    </w:p>
    <w:p w:rsidR="00607180" w:rsidRDefault="00607180" w:rsidP="00607180">
      <w:pPr>
        <w:ind w:firstLine="708"/>
        <w:jc w:val="both"/>
        <w:rPr>
          <w:rFonts w:ascii="Calibri" w:hAnsi="Calibri"/>
          <w:color w:val="7F7F7F" w:themeColor="text1" w:themeTint="80"/>
          <w:sz w:val="26"/>
          <w:szCs w:val="26"/>
        </w:rPr>
      </w:pPr>
    </w:p>
    <w:p w:rsidR="00607180" w:rsidRDefault="00607180" w:rsidP="00607180">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etcétera,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w:t>
      </w:r>
    </w:p>
    <w:p w:rsidR="00607180" w:rsidRDefault="00607180" w:rsidP="00607180">
      <w:pPr>
        <w:ind w:firstLine="708"/>
        <w:jc w:val="both"/>
        <w:rPr>
          <w:rFonts w:ascii="Calibri" w:hAnsi="Calibri" w:cs="Calibri"/>
          <w:bCs/>
          <w:color w:val="767171" w:themeColor="background2" w:themeShade="80"/>
          <w:sz w:val="26"/>
          <w:szCs w:val="26"/>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359880 (tres-cinco-nueve-ocho-ocho-cero)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26</w:t>
      </w:r>
      <w:r>
        <w:rPr>
          <w:rFonts w:ascii="Calibri" w:hAnsi="Calibri" w:cs="Calibri"/>
          <w:color w:val="767171" w:themeColor="background2" w:themeShade="80"/>
          <w:sz w:val="26"/>
          <w:szCs w:val="26"/>
        </w:rPr>
        <w:t xml:space="preserve"> veintiséis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p>
    <w:p w:rsidR="00607180" w:rsidRDefault="00607180" w:rsidP="00607180">
      <w:pPr>
        <w:jc w:val="both"/>
        <w:rPr>
          <w:rFonts w:ascii="Calibri" w:hAnsi="Calibri" w:cs="Calibri"/>
          <w:color w:val="767171" w:themeColor="background2" w:themeShade="80"/>
          <w:sz w:val="26"/>
          <w:szCs w:val="26"/>
        </w:rPr>
      </w:pPr>
    </w:p>
    <w:p w:rsidR="00607180" w:rsidRDefault="00607180" w:rsidP="00607180">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07180" w:rsidRDefault="00607180" w:rsidP="00607180">
      <w:pPr>
        <w:pStyle w:val="Textoindependiente"/>
        <w:rPr>
          <w:rFonts w:ascii="Calibri" w:hAnsi="Calibri" w:cs="Arial"/>
          <w:color w:val="767171" w:themeColor="background2" w:themeShade="80"/>
          <w:sz w:val="20"/>
          <w:szCs w:val="27"/>
          <w:lang w:val="es-ES"/>
        </w:rPr>
      </w:pPr>
    </w:p>
    <w:p w:rsidR="00607180" w:rsidRDefault="00607180" w:rsidP="00607180">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607180" w:rsidRDefault="00607180" w:rsidP="00607180">
      <w:pPr>
        <w:pStyle w:val="Textoindependiente"/>
        <w:rPr>
          <w:rFonts w:ascii="Calibri" w:hAnsi="Calibri"/>
          <w:b/>
          <w:bCs/>
          <w:i/>
          <w:iCs/>
          <w:color w:val="767171" w:themeColor="background2" w:themeShade="80"/>
          <w:sz w:val="26"/>
          <w:szCs w:val="27"/>
        </w:rPr>
      </w:pPr>
    </w:p>
    <w:p w:rsidR="00607180" w:rsidRDefault="00607180" w:rsidP="00607180">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607180" w:rsidRDefault="00607180" w:rsidP="00607180">
      <w:pPr>
        <w:pStyle w:val="Textoindependiente"/>
        <w:ind w:firstLine="708"/>
        <w:rPr>
          <w:rFonts w:ascii="Calibri" w:hAnsi="Calibri"/>
          <w:b/>
          <w:i/>
          <w:color w:val="767171" w:themeColor="background2" w:themeShade="80"/>
          <w:sz w:val="26"/>
        </w:rPr>
      </w:pPr>
    </w:p>
    <w:p w:rsidR="00607180" w:rsidRDefault="00607180" w:rsidP="00607180">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p>
    <w:p w:rsidR="00607180" w:rsidRDefault="00607180" w:rsidP="00607180">
      <w:pPr>
        <w:pStyle w:val="Textoindependiente"/>
        <w:ind w:firstLine="708"/>
        <w:rPr>
          <w:rFonts w:ascii="Calibri" w:hAnsi="Calibri" w:cs="Arial"/>
          <w:color w:val="767171" w:themeColor="background2" w:themeShade="80"/>
          <w:sz w:val="26"/>
          <w:szCs w:val="27"/>
        </w:rPr>
      </w:pPr>
    </w:p>
    <w:p w:rsidR="00607180" w:rsidRDefault="00607180" w:rsidP="00607180">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607180" w:rsidRDefault="00607180" w:rsidP="00607180">
      <w:pPr>
        <w:pStyle w:val="Textoindependiente"/>
        <w:ind w:firstLine="708"/>
        <w:rPr>
          <w:rFonts w:ascii="Calibri" w:hAnsi="Calibri"/>
          <w:color w:val="767171" w:themeColor="background2" w:themeShade="80"/>
          <w:sz w:val="20"/>
          <w:szCs w:val="20"/>
          <w:lang w:val="es-ES"/>
        </w:rPr>
      </w:pPr>
    </w:p>
    <w:p w:rsidR="00607180" w:rsidRDefault="00607180" w:rsidP="00607180">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607180" w:rsidRDefault="00607180" w:rsidP="00607180">
      <w:pPr>
        <w:pStyle w:val="Textoindependiente"/>
        <w:ind w:firstLine="708"/>
        <w:rPr>
          <w:rFonts w:ascii="Calibri" w:hAnsi="Calibri" w:cs="Calibri"/>
          <w:color w:val="767171" w:themeColor="background2" w:themeShade="80"/>
          <w:sz w:val="20"/>
          <w:szCs w:val="20"/>
        </w:rPr>
      </w:pPr>
    </w:p>
    <w:p w:rsidR="00607180" w:rsidRDefault="00607180" w:rsidP="00607180">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607180" w:rsidRDefault="00607180" w:rsidP="00607180">
      <w:pPr>
        <w:pStyle w:val="Textoindependiente"/>
        <w:rPr>
          <w:rFonts w:ascii="Calibri" w:hAnsi="Calibri" w:cs="Calibri"/>
          <w:color w:val="767171" w:themeColor="background2" w:themeShade="80"/>
          <w:sz w:val="20"/>
          <w:szCs w:val="20"/>
        </w:rPr>
      </w:pPr>
    </w:p>
    <w:p w:rsidR="00607180" w:rsidRDefault="00607180" w:rsidP="00607180">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607180" w:rsidRDefault="00607180" w:rsidP="00607180">
      <w:pPr>
        <w:pStyle w:val="Textoindependiente"/>
        <w:ind w:firstLine="708"/>
        <w:rPr>
          <w:rFonts w:ascii="Calibri" w:hAnsi="Calibri" w:cs="Calibri"/>
          <w:color w:val="767171" w:themeColor="background2" w:themeShade="80"/>
          <w:sz w:val="20"/>
          <w:szCs w:val="20"/>
        </w:rPr>
      </w:pPr>
    </w:p>
    <w:p w:rsidR="00607180" w:rsidRDefault="00607180" w:rsidP="00607180">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607180" w:rsidRDefault="00607180" w:rsidP="00607180">
      <w:pPr>
        <w:pStyle w:val="Textoindependiente"/>
        <w:ind w:firstLine="708"/>
        <w:rPr>
          <w:rFonts w:ascii="Calibri" w:hAnsi="Calibri" w:cs="Calibri"/>
          <w:bCs/>
          <w:iCs/>
          <w:color w:val="767171" w:themeColor="background2" w:themeShade="80"/>
          <w:sz w:val="20"/>
          <w:szCs w:val="20"/>
        </w:rPr>
      </w:pPr>
    </w:p>
    <w:p w:rsidR="00607180" w:rsidRDefault="00607180" w:rsidP="00607180">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359880 (tres-cinco-nueve-ocho-ocho-cero)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26</w:t>
      </w:r>
      <w:r>
        <w:rPr>
          <w:rFonts w:ascii="Calibri" w:hAnsi="Calibri" w:cs="Calibri"/>
          <w:color w:val="767171" w:themeColor="background2" w:themeShade="80"/>
          <w:sz w:val="26"/>
          <w:szCs w:val="26"/>
        </w:rPr>
        <w:t xml:space="preserve"> veintiséis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 ello en base a las consideraciones lógicas y jurídicas expresadas en el Considerando Séptimo de esta sentencia. . . . . . . . . . . . </w:t>
      </w:r>
    </w:p>
    <w:p w:rsidR="00607180" w:rsidRDefault="00607180" w:rsidP="00607180">
      <w:pPr>
        <w:ind w:firstLine="708"/>
        <w:jc w:val="both"/>
        <w:rPr>
          <w:rFonts w:ascii="Calibri" w:hAnsi="Calibri" w:cs="Calibri"/>
          <w:b/>
          <w:bCs/>
          <w:i/>
          <w:iCs/>
          <w:color w:val="767171" w:themeColor="background2" w:themeShade="80"/>
          <w:sz w:val="20"/>
          <w:szCs w:val="20"/>
        </w:rPr>
      </w:pPr>
    </w:p>
    <w:p w:rsidR="00607180" w:rsidRDefault="00607180" w:rsidP="00607180">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placas de circulación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607180" w:rsidRDefault="00607180" w:rsidP="00607180">
      <w:pPr>
        <w:ind w:firstLine="708"/>
        <w:jc w:val="both"/>
        <w:rPr>
          <w:rFonts w:ascii="Calibri" w:hAnsi="Calibri" w:cs="Calibri"/>
          <w:b/>
          <w:color w:val="767171" w:themeColor="background2" w:themeShade="80"/>
          <w:sz w:val="20"/>
          <w:szCs w:val="20"/>
        </w:rPr>
      </w:pPr>
    </w:p>
    <w:p w:rsidR="00607180" w:rsidRDefault="00607180" w:rsidP="00607180">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607180" w:rsidRDefault="00607180" w:rsidP="00607180">
      <w:pPr>
        <w:jc w:val="both"/>
        <w:rPr>
          <w:rFonts w:ascii="Calibri" w:hAnsi="Calibri" w:cs="Calibri"/>
          <w:color w:val="767171" w:themeColor="background2" w:themeShade="80"/>
          <w:sz w:val="20"/>
          <w:szCs w:val="20"/>
        </w:rPr>
      </w:pPr>
    </w:p>
    <w:p w:rsidR="00607180" w:rsidRDefault="00607180" w:rsidP="00607180">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607180" w:rsidRDefault="00607180" w:rsidP="00607180">
      <w:pPr>
        <w:pStyle w:val="Textoindependiente"/>
        <w:rPr>
          <w:rFonts w:ascii="Calibri" w:hAnsi="Calibri" w:cs="Calibri"/>
          <w:color w:val="767171" w:themeColor="background2" w:themeShade="80"/>
          <w:sz w:val="20"/>
          <w:szCs w:val="20"/>
        </w:rPr>
      </w:pPr>
    </w:p>
    <w:p w:rsidR="00607180" w:rsidRDefault="00607180" w:rsidP="0060718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0168/2doJAM/2017-JN</w:t>
      </w:r>
    </w:p>
    <w:p w:rsidR="00607180" w:rsidRDefault="00607180" w:rsidP="00607180">
      <w:pPr>
        <w:pStyle w:val="Textoindependiente"/>
        <w:ind w:firstLine="708"/>
        <w:rPr>
          <w:rFonts w:ascii="Calibri" w:hAnsi="Calibri" w:cs="Calibri"/>
          <w:color w:val="767171" w:themeColor="background2" w:themeShade="80"/>
          <w:sz w:val="26"/>
          <w:szCs w:val="26"/>
        </w:rPr>
      </w:pPr>
    </w:p>
    <w:p w:rsidR="00607180" w:rsidRDefault="00607180" w:rsidP="00607180">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607180" w:rsidRDefault="00607180" w:rsidP="00607180">
      <w:pPr>
        <w:pStyle w:val="Textoindependiente"/>
        <w:rPr>
          <w:rFonts w:ascii="Calibri" w:hAnsi="Calibri" w:cs="Calibri"/>
          <w:color w:val="767171" w:themeColor="background2" w:themeShade="80"/>
          <w:sz w:val="20"/>
          <w:szCs w:val="20"/>
        </w:rPr>
      </w:pPr>
    </w:p>
    <w:p w:rsidR="00607180" w:rsidRDefault="00607180" w:rsidP="00607180">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607180" w:rsidRDefault="00607180" w:rsidP="00607180">
      <w:pPr>
        <w:pStyle w:val="Textoindependiente"/>
        <w:ind w:firstLine="708"/>
        <w:rPr>
          <w:rFonts w:ascii="Calibri" w:hAnsi="Calibri" w:cs="Calibri"/>
          <w:color w:val="767171" w:themeColor="background2" w:themeShade="80"/>
          <w:sz w:val="26"/>
          <w:szCs w:val="26"/>
        </w:rPr>
      </w:pPr>
      <w:bookmarkStart w:id="0" w:name="_GoBack"/>
      <w:bookmarkEnd w:id="0"/>
    </w:p>
    <w:p w:rsidR="00607180" w:rsidRDefault="00607180" w:rsidP="00607180">
      <w:pPr>
        <w:pStyle w:val="Textoindependiente"/>
        <w:ind w:firstLine="708"/>
        <w:rPr>
          <w:rFonts w:ascii="Calibri" w:hAnsi="Calibri" w:cs="Calibri"/>
          <w:color w:val="767171" w:themeColor="background2" w:themeShade="80"/>
          <w:sz w:val="26"/>
          <w:szCs w:val="26"/>
        </w:rPr>
      </w:pPr>
    </w:p>
    <w:p w:rsidR="00607180" w:rsidRDefault="00607180" w:rsidP="00607180">
      <w:pPr>
        <w:pStyle w:val="Textoindependiente"/>
        <w:ind w:firstLine="708"/>
        <w:rPr>
          <w:rFonts w:ascii="Calibri" w:hAnsi="Calibri" w:cs="Calibri"/>
          <w:color w:val="767171" w:themeColor="background2" w:themeShade="80"/>
          <w:sz w:val="26"/>
          <w:szCs w:val="26"/>
        </w:rPr>
      </w:pPr>
    </w:p>
    <w:p w:rsidR="00607180" w:rsidRDefault="00607180" w:rsidP="00607180">
      <w:pPr>
        <w:pStyle w:val="Textoindependiente"/>
        <w:ind w:firstLine="708"/>
        <w:rPr>
          <w:rFonts w:ascii="Calibri" w:hAnsi="Calibri" w:cs="Calibri"/>
          <w:color w:val="767171" w:themeColor="background2" w:themeShade="80"/>
          <w:sz w:val="26"/>
          <w:szCs w:val="26"/>
        </w:rPr>
      </w:pPr>
    </w:p>
    <w:p w:rsidR="00607180" w:rsidRDefault="00607180" w:rsidP="00607180">
      <w:pPr>
        <w:pStyle w:val="Textoindependiente"/>
        <w:ind w:firstLine="708"/>
        <w:rPr>
          <w:rFonts w:ascii="Calibri" w:hAnsi="Calibri" w:cs="Calibri"/>
          <w:color w:val="767171" w:themeColor="background2" w:themeShade="80"/>
          <w:sz w:val="26"/>
          <w:szCs w:val="26"/>
        </w:rPr>
      </w:pPr>
    </w:p>
    <w:p w:rsidR="00607180" w:rsidRDefault="00607180" w:rsidP="00607180">
      <w:pPr>
        <w:pStyle w:val="Textoindependiente"/>
        <w:ind w:firstLine="708"/>
        <w:rPr>
          <w:rFonts w:ascii="Calibri" w:hAnsi="Calibri" w:cs="Calibri"/>
          <w:color w:val="767171" w:themeColor="background2" w:themeShade="80"/>
          <w:sz w:val="26"/>
          <w:szCs w:val="26"/>
        </w:rPr>
      </w:pPr>
    </w:p>
    <w:p w:rsidR="00607180" w:rsidRDefault="00607180" w:rsidP="00607180">
      <w:pPr>
        <w:pStyle w:val="Textoindependiente"/>
        <w:ind w:firstLine="708"/>
        <w:rPr>
          <w:rFonts w:ascii="Calibri" w:hAnsi="Calibri" w:cs="Calibri"/>
          <w:color w:val="767171" w:themeColor="background2" w:themeShade="80"/>
          <w:sz w:val="26"/>
          <w:szCs w:val="26"/>
        </w:rPr>
      </w:pPr>
    </w:p>
    <w:p w:rsidR="00607180" w:rsidRDefault="00607180" w:rsidP="00607180">
      <w:pPr>
        <w:pStyle w:val="Textoindependiente"/>
        <w:ind w:firstLine="708"/>
        <w:rPr>
          <w:rFonts w:ascii="Calibri" w:hAnsi="Calibri" w:cs="Calibri"/>
          <w:color w:val="767171" w:themeColor="background2" w:themeShade="80"/>
          <w:sz w:val="26"/>
          <w:szCs w:val="26"/>
        </w:rPr>
      </w:pPr>
    </w:p>
    <w:p w:rsidR="00607180" w:rsidRDefault="00607180" w:rsidP="00607180">
      <w:pPr>
        <w:jc w:val="both"/>
      </w:pPr>
      <w:r>
        <w:rPr>
          <w:rFonts w:ascii="Calibri" w:hAnsi="Calibri" w:cs="Calibri"/>
          <w:b/>
          <w:color w:val="7F7F7F" w:themeColor="text1" w:themeTint="80"/>
        </w:rPr>
        <w:t xml:space="preserve">LA PRESENTE FOJA FORMA PARTE DE LA SENTENCIA DICTADA EL DÍA 14 CATORCE DE JULIO DEL AÑO 2017 DOS MIL DIECISIETE, EN EL PROCESO ADMINISTRATIVO CON NÚMERO DE EXPEDIENTE 0168/2do JAM/2017-JN.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80"/>
    <w:rsid w:val="004F58FC"/>
    <w:rsid w:val="006071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4B22E-909E-4BE3-A65A-31FCD088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18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07180"/>
    <w:pPr>
      <w:jc w:val="both"/>
    </w:pPr>
    <w:rPr>
      <w:lang w:val="es-MX"/>
    </w:rPr>
  </w:style>
  <w:style w:type="character" w:customStyle="1" w:styleId="TextoindependienteCar">
    <w:name w:val="Texto independiente Car"/>
    <w:basedOn w:val="Fuentedeprrafopredeter"/>
    <w:link w:val="Textoindependiente"/>
    <w:rsid w:val="0060718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60718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0718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3287</Words>
  <Characters>18081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2017-08-31T19:24:00Z</dcterms:created>
  <dcterms:modified xsi:type="dcterms:W3CDTF">2017-08-31T19:25:00Z</dcterms:modified>
</cp:coreProperties>
</file>